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BC7058" w14:textId="34F5F2FF" w:rsidR="00742B32" w:rsidRPr="00BC351C" w:rsidRDefault="00CC0DD1" w:rsidP="00742B32">
      <w:pPr>
        <w:tabs>
          <w:tab w:val="left" w:pos="4200"/>
        </w:tabs>
        <w:suppressAutoHyphens w:val="0"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en-US"/>
        </w:rPr>
      </w:pPr>
      <w:r w:rsidRPr="00BC351C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en-US"/>
        </w:rPr>
        <w:t>Додаток 10</w:t>
      </w:r>
      <w:r w:rsidR="00917018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en-US"/>
        </w:rPr>
        <w:t>5</w:t>
      </w:r>
    </w:p>
    <w:p w14:paraId="352E97A4" w14:textId="77777777" w:rsidR="00742B32" w:rsidRPr="00BC351C" w:rsidRDefault="00742B32" w:rsidP="00742B32">
      <w:pPr>
        <w:tabs>
          <w:tab w:val="left" w:pos="4200"/>
        </w:tabs>
        <w:suppressAutoHyphens w:val="0"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en-US"/>
        </w:rPr>
      </w:pPr>
      <w:r w:rsidRPr="00BC351C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en-US"/>
        </w:rPr>
        <w:t>до рішення виконкому</w:t>
      </w:r>
    </w:p>
    <w:p w14:paraId="577C46D8" w14:textId="77777777" w:rsidR="00742B32" w:rsidRPr="00BC351C" w:rsidRDefault="00742B32" w:rsidP="00742B32">
      <w:pPr>
        <w:tabs>
          <w:tab w:val="left" w:pos="4200"/>
        </w:tabs>
        <w:suppressAutoHyphens w:val="0"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BC351C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en-US"/>
        </w:rPr>
        <w:t>районної у місті ради</w:t>
      </w:r>
    </w:p>
    <w:p w14:paraId="1209903C" w14:textId="4D2BAB32" w:rsidR="00D71C86" w:rsidRPr="00BC351C" w:rsidRDefault="00917018" w:rsidP="00D71C86">
      <w:pPr>
        <w:suppressAutoHyphens w:val="0"/>
        <w:spacing w:after="0" w:line="240" w:lineRule="auto"/>
        <w:ind w:left="7080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uk-UA"/>
        </w:rPr>
        <w:t>0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uk-UA"/>
        </w:rPr>
        <w:t>.</w:t>
      </w:r>
      <w:r w:rsidR="0066696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uk-UA"/>
        </w:rPr>
        <w:t>1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.202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uk-UA"/>
        </w:rPr>
        <w:t>6</w:t>
      </w:r>
      <w:r w:rsidR="00706C63" w:rsidRPr="00706C6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№ </w:t>
      </w:r>
      <w:r w:rsidR="0066696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uk-UA"/>
        </w:rPr>
        <w:t>1</w:t>
      </w:r>
      <w:r w:rsidR="00BC351C" w:rsidRPr="00BC351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en-US"/>
        </w:rPr>
        <w:t xml:space="preserve"> </w:t>
      </w:r>
    </w:p>
    <w:p w14:paraId="02B11C2B" w14:textId="63BDDF5E" w:rsidR="00C3025A" w:rsidRPr="00BC351C" w:rsidRDefault="00BC351C" w:rsidP="00BC351C">
      <w:pPr>
        <w:tabs>
          <w:tab w:val="left" w:pos="4200"/>
        </w:tabs>
        <w:suppressAutoHyphens w:val="0"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BC351C"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  <w:t xml:space="preserve">                  </w:t>
      </w:r>
    </w:p>
    <w:p w14:paraId="5F924003" w14:textId="78320DB4" w:rsidR="008533CC" w:rsidRPr="00BC351C" w:rsidRDefault="00742B32" w:rsidP="008533CC">
      <w:pPr>
        <w:spacing w:after="0" w:line="240" w:lineRule="auto"/>
        <w:jc w:val="center"/>
        <w:rPr>
          <w:rFonts w:ascii="Times New Roman" w:hAnsi="Times New Roman" w:cs="Times New Roman"/>
          <w:sz w:val="6"/>
          <w:szCs w:val="6"/>
          <w:highlight w:val="white"/>
          <w:shd w:val="clear" w:color="auto" w:fill="00FF00"/>
          <w:lang w:val="uk-UA"/>
        </w:rPr>
      </w:pPr>
      <w:r w:rsidRPr="00BC351C">
        <w:rPr>
          <w:rFonts w:ascii="Times New Roman" w:hAnsi="Times New Roman" w:cs="Times New Roman"/>
          <w:b/>
          <w:sz w:val="24"/>
          <w:szCs w:val="24"/>
          <w:highlight w:val="white"/>
          <w:shd w:val="clear" w:color="auto" w:fill="00FF00"/>
          <w:lang w:val="uk-UA"/>
        </w:rPr>
        <w:t xml:space="preserve">ІНФОРМАЦІЙНА КАРТКА </w:t>
      </w:r>
      <w:r w:rsidR="00C46A7C" w:rsidRPr="00BC351C">
        <w:rPr>
          <w:rFonts w:ascii="Times New Roman" w:hAnsi="Times New Roman" w:cs="Times New Roman"/>
          <w:b/>
          <w:sz w:val="24"/>
          <w:szCs w:val="24"/>
          <w:highlight w:val="white"/>
          <w:shd w:val="clear" w:color="auto" w:fill="00FF00"/>
          <w:lang w:val="uk-UA"/>
        </w:rPr>
        <w:t>40-5</w:t>
      </w:r>
      <w:r w:rsidR="00917018">
        <w:rPr>
          <w:rFonts w:ascii="Times New Roman" w:hAnsi="Times New Roman" w:cs="Times New Roman"/>
          <w:b/>
          <w:sz w:val="24"/>
          <w:szCs w:val="24"/>
          <w:highlight w:val="white"/>
          <w:shd w:val="clear" w:color="auto" w:fill="00FF00"/>
          <w:lang w:val="uk-UA"/>
        </w:rPr>
        <w:t>3</w:t>
      </w:r>
    </w:p>
    <w:p w14:paraId="08AE9B3F" w14:textId="77777777" w:rsidR="008533CC" w:rsidRPr="00BC351C" w:rsidRDefault="008533CC" w:rsidP="008533CC">
      <w:pPr>
        <w:spacing w:after="0" w:line="240" w:lineRule="auto"/>
        <w:jc w:val="center"/>
        <w:rPr>
          <w:rFonts w:ascii="Times New Roman" w:hAnsi="Times New Roman" w:cs="Times New Roman"/>
          <w:sz w:val="6"/>
          <w:szCs w:val="6"/>
          <w:highlight w:val="white"/>
          <w:shd w:val="clear" w:color="auto" w:fill="00FF00"/>
          <w:lang w:val="uk-UA"/>
        </w:rPr>
      </w:pPr>
    </w:p>
    <w:p w14:paraId="1A7A6328" w14:textId="045E50CF" w:rsidR="008533CC" w:rsidRPr="00BC351C" w:rsidRDefault="00742B32" w:rsidP="00742B32">
      <w:pPr>
        <w:spacing w:after="0" w:line="240" w:lineRule="auto"/>
        <w:ind w:right="-89"/>
        <w:jc w:val="both"/>
        <w:rPr>
          <w:rFonts w:ascii="Times New Roman" w:hAnsi="Times New Roman" w:cs="Times New Roman"/>
          <w:b/>
          <w:i/>
          <w:sz w:val="24"/>
          <w:szCs w:val="24"/>
          <w:highlight w:val="white"/>
          <w:shd w:val="clear" w:color="auto" w:fill="00FF00"/>
          <w:lang w:val="uk-UA"/>
        </w:rPr>
      </w:pPr>
      <w:r w:rsidRPr="00BC351C">
        <w:rPr>
          <w:rFonts w:ascii="Times New Roman" w:hAnsi="Times New Roman" w:cs="Times New Roman"/>
          <w:b/>
          <w:i/>
          <w:sz w:val="24"/>
          <w:szCs w:val="24"/>
          <w:highlight w:val="white"/>
          <w:shd w:val="clear" w:color="auto" w:fill="00FF00"/>
          <w:lang w:val="uk-UA"/>
        </w:rPr>
        <w:t xml:space="preserve">Назва послуги: </w:t>
      </w:r>
      <w:r w:rsidR="00921F4B" w:rsidRPr="00BC351C">
        <w:rPr>
          <w:rFonts w:ascii="Times New Roman" w:hAnsi="Times New Roman" w:cs="Times New Roman"/>
          <w:b/>
          <w:i/>
          <w:sz w:val="24"/>
          <w:szCs w:val="24"/>
          <w:highlight w:val="white"/>
          <w:shd w:val="clear" w:color="auto" w:fill="00FF00"/>
          <w:lang w:val="uk-UA"/>
        </w:rPr>
        <w:t>По</w:t>
      </w:r>
      <w:r w:rsidR="00887AE7" w:rsidRPr="00BC351C">
        <w:rPr>
          <w:rFonts w:ascii="Times New Roman" w:hAnsi="Times New Roman" w:cs="Times New Roman"/>
          <w:b/>
          <w:i/>
          <w:sz w:val="24"/>
          <w:szCs w:val="24"/>
          <w:highlight w:val="white"/>
          <w:shd w:val="clear" w:color="auto" w:fill="00FF00"/>
          <w:lang w:val="uk-UA"/>
        </w:rPr>
        <w:t xml:space="preserve">дання </w:t>
      </w:r>
      <w:r w:rsidR="00213E43" w:rsidRPr="00BC351C">
        <w:rPr>
          <w:rFonts w:ascii="Times New Roman" w:hAnsi="Times New Roman" w:cs="Times New Roman"/>
          <w:b/>
          <w:i/>
          <w:sz w:val="24"/>
          <w:szCs w:val="24"/>
          <w:highlight w:val="white"/>
          <w:shd w:val="clear" w:color="auto" w:fill="00FF00"/>
          <w:lang w:val="uk-UA"/>
        </w:rPr>
        <w:t xml:space="preserve">повідомлення про завершення ремонтних робіт по відновленню пошкодженого об’єкта </w:t>
      </w:r>
      <w:r w:rsidR="00887AE7" w:rsidRPr="00BC351C">
        <w:rPr>
          <w:rFonts w:ascii="Times New Roman" w:hAnsi="Times New Roman" w:cs="Times New Roman"/>
          <w:b/>
          <w:i/>
          <w:sz w:val="24"/>
          <w:szCs w:val="24"/>
          <w:highlight w:val="white"/>
          <w:shd w:val="clear" w:color="auto" w:fill="00FF00"/>
          <w:lang w:val="uk-UA"/>
        </w:rPr>
        <w:t>нерухомого майна</w:t>
      </w:r>
      <w:r w:rsidR="00213E43" w:rsidRPr="00BC351C">
        <w:rPr>
          <w:rFonts w:ascii="Times New Roman" w:hAnsi="Times New Roman" w:cs="Times New Roman"/>
          <w:b/>
          <w:i/>
          <w:sz w:val="24"/>
          <w:szCs w:val="24"/>
          <w:highlight w:val="white"/>
          <w:shd w:val="clear" w:color="auto" w:fill="00FF00"/>
          <w:lang w:val="uk-UA"/>
        </w:rPr>
        <w:t xml:space="preserve">, </w:t>
      </w:r>
      <w:r w:rsidR="008A254D">
        <w:rPr>
          <w:rFonts w:ascii="Times New Roman" w:hAnsi="Times New Roman" w:cs="Times New Roman"/>
          <w:b/>
          <w:i/>
          <w:sz w:val="24"/>
          <w:szCs w:val="24"/>
          <w:highlight w:val="white"/>
          <w:shd w:val="clear" w:color="auto" w:fill="00FF00"/>
          <w:lang w:val="uk-UA"/>
        </w:rPr>
        <w:t>в</w:t>
      </w:r>
      <w:bookmarkStart w:id="0" w:name="_GoBack"/>
      <w:bookmarkEnd w:id="0"/>
      <w:r w:rsidR="001E11D5" w:rsidRPr="00BC351C">
        <w:rPr>
          <w:rFonts w:ascii="Times New Roman" w:hAnsi="Times New Roman" w:cs="Times New Roman"/>
          <w:b/>
          <w:i/>
          <w:sz w:val="24"/>
          <w:szCs w:val="24"/>
          <w:highlight w:val="white"/>
          <w:shd w:val="clear" w:color="auto" w:fill="00FF00"/>
          <w:lang w:val="uk-UA"/>
        </w:rPr>
        <w:t xml:space="preserve">наслідок бойових дій, терористичних актів, диверсій, спричинених збройною агресією </w:t>
      </w:r>
      <w:r w:rsidR="00D85BAC" w:rsidRPr="00BC351C">
        <w:rPr>
          <w:rFonts w:ascii="Times New Roman" w:hAnsi="Times New Roman" w:cs="Times New Roman"/>
          <w:b/>
          <w:i/>
          <w:sz w:val="24"/>
          <w:szCs w:val="24"/>
          <w:highlight w:val="white"/>
          <w:shd w:val="clear" w:color="auto" w:fill="00FF00"/>
          <w:lang w:val="uk-UA"/>
        </w:rPr>
        <w:t>Р</w:t>
      </w:r>
      <w:r w:rsidR="001E11D5" w:rsidRPr="00BC351C">
        <w:rPr>
          <w:rFonts w:ascii="Times New Roman" w:hAnsi="Times New Roman" w:cs="Times New Roman"/>
          <w:b/>
          <w:i/>
          <w:sz w:val="24"/>
          <w:szCs w:val="24"/>
          <w:highlight w:val="white"/>
          <w:shd w:val="clear" w:color="auto" w:fill="00FF00"/>
          <w:lang w:val="uk-UA"/>
        </w:rPr>
        <w:t>осійської</w:t>
      </w:r>
      <w:r w:rsidR="00D85BAC" w:rsidRPr="00BC351C">
        <w:rPr>
          <w:rFonts w:ascii="Times New Roman" w:hAnsi="Times New Roman" w:cs="Times New Roman"/>
          <w:b/>
          <w:i/>
          <w:sz w:val="24"/>
          <w:szCs w:val="24"/>
          <w:highlight w:val="white"/>
          <w:shd w:val="clear" w:color="auto" w:fill="00FF00"/>
          <w:lang w:val="uk-UA"/>
        </w:rPr>
        <w:t xml:space="preserve"> Ф</w:t>
      </w:r>
      <w:r w:rsidR="001E11D5" w:rsidRPr="00BC351C">
        <w:rPr>
          <w:rFonts w:ascii="Times New Roman" w:hAnsi="Times New Roman" w:cs="Times New Roman"/>
          <w:b/>
          <w:i/>
          <w:sz w:val="24"/>
          <w:szCs w:val="24"/>
          <w:highlight w:val="white"/>
          <w:shd w:val="clear" w:color="auto" w:fill="00FF00"/>
          <w:lang w:val="uk-UA"/>
        </w:rPr>
        <w:t>едерації</w:t>
      </w:r>
      <w:r w:rsidR="00160D0E">
        <w:rPr>
          <w:rFonts w:ascii="Times New Roman" w:hAnsi="Times New Roman" w:cs="Times New Roman"/>
          <w:b/>
          <w:i/>
          <w:sz w:val="24"/>
          <w:szCs w:val="24"/>
          <w:highlight w:val="white"/>
          <w:shd w:val="clear" w:color="auto" w:fill="00FF00"/>
          <w:lang w:val="uk-UA"/>
        </w:rPr>
        <w:t xml:space="preserve"> проти України</w:t>
      </w:r>
    </w:p>
    <w:p w14:paraId="20AE9C36" w14:textId="77777777" w:rsidR="00742B32" w:rsidRPr="00BC351C" w:rsidRDefault="00742B32" w:rsidP="00742B32">
      <w:pPr>
        <w:spacing w:after="0" w:line="240" w:lineRule="auto"/>
        <w:ind w:right="-89"/>
        <w:jc w:val="center"/>
        <w:rPr>
          <w:rFonts w:ascii="Times New Roman" w:hAnsi="Times New Roman" w:cs="Times New Roman"/>
          <w:b/>
          <w:i/>
          <w:sz w:val="14"/>
          <w:szCs w:val="14"/>
          <w:highlight w:val="white"/>
          <w:shd w:val="clear" w:color="auto" w:fill="00FF00"/>
          <w:lang w:val="uk-UA"/>
        </w:rPr>
      </w:pPr>
    </w:p>
    <w:tbl>
      <w:tblPr>
        <w:tblW w:w="964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704"/>
        <w:gridCol w:w="3724"/>
        <w:gridCol w:w="5216"/>
      </w:tblGrid>
      <w:tr w:rsidR="008533CC" w:rsidRPr="00506D11" w14:paraId="3CCDFCBB" w14:textId="77777777" w:rsidTr="00B61FA1">
        <w:trPr>
          <w:trHeight w:val="171"/>
        </w:trPr>
        <w:tc>
          <w:tcPr>
            <w:tcW w:w="964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D096A56" w14:textId="77777777" w:rsidR="00742B32" w:rsidRPr="00BC351C" w:rsidRDefault="00742B32" w:rsidP="00742B32">
            <w:pPr>
              <w:suppressAutoHyphens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BC35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 xml:space="preserve">Інформація про суб’єкта надання послуги </w:t>
            </w:r>
          </w:p>
          <w:p w14:paraId="643ABF69" w14:textId="3D412143" w:rsidR="008533CC" w:rsidRPr="00BC351C" w:rsidRDefault="00742B32" w:rsidP="00742B32">
            <w:pPr>
              <w:snapToGrid w:val="0"/>
              <w:spacing w:after="0" w:line="240" w:lineRule="auto"/>
              <w:jc w:val="center"/>
              <w:rPr>
                <w:highlight w:val="white"/>
                <w:lang w:val="uk-UA"/>
              </w:rPr>
            </w:pPr>
            <w:r w:rsidRPr="00BC35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та/або Центр адміністративних послуг «Віза» («Центр Дії») виконкому Криворізької міської ради та його територіальні підрозділи</w:t>
            </w:r>
          </w:p>
        </w:tc>
      </w:tr>
      <w:tr w:rsidR="008533CC" w:rsidRPr="00BC351C" w14:paraId="1D53A2AA" w14:textId="77777777" w:rsidTr="00B61FA1">
        <w:trPr>
          <w:trHeight w:val="765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56566C1" w14:textId="1A1744F6" w:rsidR="008533CC" w:rsidRPr="00BC351C" w:rsidRDefault="00742B32" w:rsidP="00F36E7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</w:rPr>
            </w:pPr>
            <w:r w:rsidRPr="00BC35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Найменування центру надання адміністративних послуг, у якому здійснюється обслуговування суб’єкта звернення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E23C544" w14:textId="351BE83B" w:rsidR="008533CC" w:rsidRPr="00BC351C" w:rsidRDefault="00742B32" w:rsidP="00F36E7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BC35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Центр адміністративних послуг «Віза» («Центр Дії») виконкому Криворізької міської ради (надалі – Центр</w:t>
            </w:r>
            <w:r w:rsidRPr="00BC351C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</w:rPr>
              <w:t>)</w:t>
            </w:r>
          </w:p>
        </w:tc>
      </w:tr>
      <w:tr w:rsidR="008533CC" w:rsidRPr="00BC351C" w14:paraId="188C70B5" w14:textId="77777777" w:rsidTr="00B61FA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9408E2" w14:textId="77777777" w:rsidR="008533CC" w:rsidRPr="00BC351C" w:rsidRDefault="008533CC" w:rsidP="00F36E7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BC351C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1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2597A0" w14:textId="34D45C62" w:rsidR="008533CC" w:rsidRPr="00BC351C" w:rsidRDefault="00742B32" w:rsidP="00F36E7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</w:rPr>
            </w:pPr>
            <w:r w:rsidRPr="00BC351C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</w:rPr>
              <w:t>Місцезнаходження Ц</w:t>
            </w:r>
            <w:r w:rsidR="008533CC" w:rsidRPr="00BC351C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</w:rPr>
              <w:t>ентру та його територіальних підрозділів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D2036" w14:textId="77777777" w:rsidR="00BC351C" w:rsidRPr="00BC351C" w:rsidRDefault="00BC351C" w:rsidP="00BC351C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BC351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50101, м. Кривий Ріг, </w:t>
            </w:r>
            <w:proofErr w:type="spellStart"/>
            <w:r w:rsidRPr="00BC351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пл</w:t>
            </w:r>
            <w:proofErr w:type="spellEnd"/>
            <w:r w:rsidRPr="00BC351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. Молодіжна, 1, </w:t>
            </w:r>
          </w:p>
          <w:p w14:paraId="65599DBE" w14:textId="77777777" w:rsidR="00BC351C" w:rsidRPr="00BC351C" w:rsidRDefault="00BC351C" w:rsidP="00BC351C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BC351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Територіальні підрозділи Центру:</w:t>
            </w:r>
          </w:p>
          <w:p w14:paraId="3A05720B" w14:textId="77777777" w:rsidR="00BC351C" w:rsidRPr="00BC351C" w:rsidRDefault="00BC351C" w:rsidP="00BC351C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proofErr w:type="spellStart"/>
            <w:r w:rsidRPr="00BC351C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Довгинцівський</w:t>
            </w:r>
            <w:proofErr w:type="spellEnd"/>
            <w:r w:rsidRPr="00BC351C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 район</w:t>
            </w:r>
            <w:r w:rsidRPr="00BC351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:</w:t>
            </w:r>
          </w:p>
          <w:p w14:paraId="7DF4D8AC" w14:textId="77777777" w:rsidR="00BC351C" w:rsidRPr="00BC351C" w:rsidRDefault="00BC351C" w:rsidP="00BC351C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BC351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вул. Дніпровське шосе, буд. 11, </w:t>
            </w:r>
            <w:proofErr w:type="spellStart"/>
            <w:r w:rsidRPr="00BC351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каб</w:t>
            </w:r>
            <w:proofErr w:type="spellEnd"/>
            <w:r w:rsidRPr="00BC351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. 102</w:t>
            </w:r>
          </w:p>
          <w:p w14:paraId="35294608" w14:textId="77777777" w:rsidR="00BC351C" w:rsidRPr="00BC351C" w:rsidRDefault="00BC351C" w:rsidP="00BC351C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BC351C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Покровський район</w:t>
            </w:r>
            <w:r w:rsidRPr="00BC351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:</w:t>
            </w:r>
          </w:p>
          <w:p w14:paraId="0B706B04" w14:textId="77777777" w:rsidR="00BC351C" w:rsidRPr="00BC351C" w:rsidRDefault="00BC351C" w:rsidP="00BC351C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BC351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вул. Костя Гордієнка, буд. 2, </w:t>
            </w:r>
            <w:proofErr w:type="spellStart"/>
            <w:r w:rsidRPr="00BC351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каб</w:t>
            </w:r>
            <w:proofErr w:type="spellEnd"/>
            <w:r w:rsidRPr="00BC351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. 12</w:t>
            </w:r>
          </w:p>
          <w:p w14:paraId="72C61E37" w14:textId="77777777" w:rsidR="00BC351C" w:rsidRPr="00BC351C" w:rsidRDefault="00BC351C" w:rsidP="00BC351C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BC351C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Інгулецький район</w:t>
            </w:r>
            <w:r w:rsidRPr="00BC351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: </w:t>
            </w:r>
          </w:p>
          <w:p w14:paraId="358212CD" w14:textId="77777777" w:rsidR="00BC351C" w:rsidRPr="00BC351C" w:rsidRDefault="00BC351C" w:rsidP="00BC351C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BC351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пр-т Південний, буд. 1     </w:t>
            </w:r>
          </w:p>
          <w:p w14:paraId="5A180ED3" w14:textId="77777777" w:rsidR="00BC351C" w:rsidRPr="00BC351C" w:rsidRDefault="00BC351C" w:rsidP="00BC351C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BC351C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Житловий масив Інгулець</w:t>
            </w:r>
            <w:r w:rsidRPr="00BC351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:</w:t>
            </w:r>
          </w:p>
          <w:p w14:paraId="67FD9203" w14:textId="77777777" w:rsidR="00BC351C" w:rsidRPr="00BC351C" w:rsidRDefault="00BC351C" w:rsidP="00BC351C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BC351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вул. Гірників, буд.19, каб.11 (адміністративна будівля виконавчого комітету Інгулецької районної у місті ради)</w:t>
            </w:r>
          </w:p>
          <w:p w14:paraId="05D7635F" w14:textId="77777777" w:rsidR="00BC351C" w:rsidRPr="00BC351C" w:rsidRDefault="00BC351C" w:rsidP="00BC351C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BC351C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Саксаганський район</w:t>
            </w:r>
            <w:r w:rsidRPr="00BC351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:</w:t>
            </w:r>
          </w:p>
          <w:p w14:paraId="330BE4AA" w14:textId="77777777" w:rsidR="00BC351C" w:rsidRPr="00BC351C" w:rsidRDefault="00BC351C" w:rsidP="00BC351C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BC351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вул. Володимира Великого, буд. 32, </w:t>
            </w:r>
            <w:proofErr w:type="spellStart"/>
            <w:r w:rsidRPr="00BC351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каб</w:t>
            </w:r>
            <w:proofErr w:type="spellEnd"/>
            <w:r w:rsidRPr="00BC351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. 122</w:t>
            </w:r>
          </w:p>
          <w:p w14:paraId="6A502D97" w14:textId="77777777" w:rsidR="00BC351C" w:rsidRPr="00BC351C" w:rsidRDefault="00BC351C" w:rsidP="00BC351C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proofErr w:type="spellStart"/>
            <w:r w:rsidRPr="00BC351C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Тернівський</w:t>
            </w:r>
            <w:proofErr w:type="spellEnd"/>
            <w:r w:rsidRPr="00BC351C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 район</w:t>
            </w:r>
            <w:r w:rsidRPr="00BC351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:</w:t>
            </w:r>
          </w:p>
          <w:p w14:paraId="20F1DFE9" w14:textId="4AC2FC40" w:rsidR="00BC351C" w:rsidRPr="00BC351C" w:rsidRDefault="00BC351C" w:rsidP="00BC351C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BC351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вул. Антон</w:t>
            </w:r>
            <w:r w:rsidR="005C779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а </w:t>
            </w:r>
            <w:proofErr w:type="spellStart"/>
            <w:r w:rsidR="005C779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Ігнатченка</w:t>
            </w:r>
            <w:proofErr w:type="spellEnd"/>
            <w:r w:rsidR="005C779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, буд. 1А,  </w:t>
            </w:r>
            <w:proofErr w:type="spellStart"/>
            <w:r w:rsidR="005C779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каб</w:t>
            </w:r>
            <w:proofErr w:type="spellEnd"/>
            <w:r w:rsidR="005C779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. 127</w:t>
            </w:r>
          </w:p>
          <w:p w14:paraId="7A27B041" w14:textId="77777777" w:rsidR="00BC351C" w:rsidRPr="00BC351C" w:rsidRDefault="00BC351C" w:rsidP="00BC351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BC35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en-US"/>
              </w:rPr>
              <w:t>Центрально-Міський район</w:t>
            </w:r>
            <w:r w:rsidRPr="00BC35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:</w:t>
            </w:r>
          </w:p>
          <w:p w14:paraId="5FA199CF" w14:textId="77777777" w:rsidR="00BC351C" w:rsidRPr="00BC351C" w:rsidRDefault="00BC351C" w:rsidP="00BC351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BC35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вул. </w:t>
            </w:r>
            <w:proofErr w:type="spellStart"/>
            <w:r w:rsidRPr="00BC35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Староярмаркова</w:t>
            </w:r>
            <w:proofErr w:type="spellEnd"/>
            <w:r w:rsidRPr="00BC35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, буд. 44</w:t>
            </w:r>
          </w:p>
          <w:p w14:paraId="55967F20" w14:textId="77777777" w:rsidR="00BC351C" w:rsidRPr="00BC351C" w:rsidRDefault="00BC351C" w:rsidP="00BC351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BC35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Мобільні офіси муніципальних послуг, </w:t>
            </w:r>
          </w:p>
          <w:p w14:paraId="1E50B069" w14:textId="0997E22B" w:rsidR="00825B3E" w:rsidRPr="00BC351C" w:rsidRDefault="00BC351C" w:rsidP="00BC351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BC351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кейси-адміністратори (за окремим графіком)</w:t>
            </w:r>
          </w:p>
        </w:tc>
      </w:tr>
      <w:tr w:rsidR="008533CC" w:rsidRPr="00BC351C" w14:paraId="2D4689B5" w14:textId="77777777" w:rsidTr="00B61FA1">
        <w:trPr>
          <w:trHeight w:val="39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CC8AF2" w14:textId="77777777" w:rsidR="008533CC" w:rsidRPr="00BC351C" w:rsidRDefault="008533CC" w:rsidP="00F36E7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BC351C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2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FB52C8" w14:textId="77777777" w:rsidR="008533CC" w:rsidRPr="00BC351C" w:rsidRDefault="008533CC" w:rsidP="00F36E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BC351C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Інформація щодо режимів роботи Центру та його територіальних підрозділів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4E629F" w14:textId="64924704" w:rsidR="00925D97" w:rsidRPr="00BC351C" w:rsidRDefault="00925D97" w:rsidP="00925D9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BC35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1. Центр працює</w:t>
            </w:r>
            <w:r w:rsidR="00BC351C" w:rsidRPr="00BC35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за попереднім записом</w:t>
            </w:r>
            <w:r w:rsidRPr="00BC35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:</w:t>
            </w:r>
          </w:p>
          <w:p w14:paraId="5A2A0FC7" w14:textId="77777777" w:rsidR="00925D97" w:rsidRPr="00BC351C" w:rsidRDefault="00925D97" w:rsidP="00925D97">
            <w:pPr>
              <w:tabs>
                <w:tab w:val="left" w:pos="318"/>
              </w:tabs>
              <w:suppressAutoHyphens w:val="0"/>
              <w:spacing w:after="0" w:line="240" w:lineRule="auto"/>
              <w:ind w:right="57"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BC35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– головний офіс у понеділок, середу, четвер, п’ятницю, суботу з 8.00 до 16.30 години; вівторок з 8.00 до 20.00 години, без перерви;</w:t>
            </w:r>
          </w:p>
          <w:p w14:paraId="1AAC30F8" w14:textId="77777777" w:rsidR="00925D97" w:rsidRPr="00BC351C" w:rsidRDefault="00925D97" w:rsidP="00925D97">
            <w:pPr>
              <w:tabs>
                <w:tab w:val="left" w:pos="0"/>
                <w:tab w:val="left" w:pos="512"/>
              </w:tabs>
              <w:suppressAutoHyphens w:val="0"/>
              <w:spacing w:after="0" w:line="240" w:lineRule="auto"/>
              <w:ind w:right="57" w:firstLine="318"/>
              <w:contextualSpacing/>
              <w:jc w:val="both"/>
              <w:rPr>
                <w:rFonts w:ascii="Times New Roman" w:eastAsia="Times New Roman" w:hAnsi="Times New Roman" w:cs="Times New Roman"/>
                <w:sz w:val="12"/>
                <w:szCs w:val="24"/>
                <w:lang w:val="uk-UA" w:eastAsia="en-US"/>
              </w:rPr>
            </w:pPr>
            <w:r w:rsidRPr="00BC35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 – територіальні підрозділи – з понеділка до п’ятниці з 8.00 до 16.30, перерва з 12.30 до 13.00.</w:t>
            </w:r>
          </w:p>
          <w:p w14:paraId="5ADF5CA1" w14:textId="77777777" w:rsidR="00925D97" w:rsidRPr="00BC351C" w:rsidRDefault="00925D97" w:rsidP="00925D97">
            <w:pPr>
              <w:tabs>
                <w:tab w:val="left" w:pos="0"/>
                <w:tab w:val="left" w:pos="512"/>
              </w:tabs>
              <w:suppressAutoHyphens w:val="0"/>
              <w:spacing w:after="0" w:line="240" w:lineRule="auto"/>
              <w:ind w:right="57"/>
              <w:contextualSpacing/>
              <w:jc w:val="both"/>
              <w:rPr>
                <w:rFonts w:ascii="Times New Roman" w:eastAsia="Times New Roman" w:hAnsi="Times New Roman" w:cs="Times New Roman"/>
                <w:sz w:val="12"/>
                <w:szCs w:val="24"/>
                <w:lang w:val="uk-UA" w:eastAsia="en-US"/>
              </w:rPr>
            </w:pPr>
          </w:p>
          <w:p w14:paraId="45F171B7" w14:textId="77777777" w:rsidR="00925D97" w:rsidRPr="00BC351C" w:rsidRDefault="00925D97" w:rsidP="00925D97">
            <w:pPr>
              <w:tabs>
                <w:tab w:val="left" w:pos="459"/>
              </w:tabs>
              <w:suppressAutoHyphens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BC35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2. Прийом та видача документів для надання адміністративних послуг здійснюються:</w:t>
            </w:r>
          </w:p>
          <w:p w14:paraId="5AA46287" w14:textId="77777777" w:rsidR="00925D97" w:rsidRPr="00BC351C" w:rsidRDefault="00925D97" w:rsidP="00925D97">
            <w:pPr>
              <w:tabs>
                <w:tab w:val="left" w:pos="318"/>
              </w:tabs>
              <w:suppressAutoHyphens w:val="0"/>
              <w:spacing w:after="0" w:line="240" w:lineRule="auto"/>
              <w:ind w:right="57"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BC35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– у головному офісі Центру з 8.00 до 15.30 годин з понеділка до суботи (вівторок – до 20.00 години), без перерви;</w:t>
            </w:r>
          </w:p>
          <w:p w14:paraId="2535630E" w14:textId="77777777" w:rsidR="008533CC" w:rsidRDefault="00925D97" w:rsidP="00F36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BC35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– у територіальних підрозділах – з понеділка до п’ятниці з 8.00 до 15.30 години, перерва з 12.30 до 13.00</w:t>
            </w:r>
          </w:p>
          <w:p w14:paraId="0104B954" w14:textId="4BE53E1D" w:rsidR="008E54B2" w:rsidRPr="00BC351C" w:rsidRDefault="008E54B2" w:rsidP="00F36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8E54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lastRenderedPageBreak/>
              <w:t>На період дії правового режиму воєнного стану в Україні прийом громадян, суб’єктів господарювання з питань надання адміністративних, інших публічних послуг здійснюється за єдиним в місті графіком: з понеділка до п’ятниці з 8.00 до 15.30 з технічною перервою з 12.30 до 13.00.</w:t>
            </w:r>
          </w:p>
        </w:tc>
      </w:tr>
      <w:tr w:rsidR="008533CC" w:rsidRPr="00BC351C" w14:paraId="32057D4D" w14:textId="77777777" w:rsidTr="00B61FA1">
        <w:trPr>
          <w:trHeight w:val="28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61DB575" w14:textId="77777777" w:rsidR="008533CC" w:rsidRPr="00BC351C" w:rsidRDefault="008533CC" w:rsidP="00F36E7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BC351C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lastRenderedPageBreak/>
              <w:t>3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C6FA2C" w14:textId="77777777" w:rsidR="008533CC" w:rsidRPr="00BC351C" w:rsidRDefault="008533CC" w:rsidP="00F36E7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</w:rPr>
            </w:pPr>
            <w:r w:rsidRPr="00BC351C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</w:rPr>
              <w:t xml:space="preserve">Телефон/факс (довідки), адреса електронної пошти та веб-сайт Центру 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82FB5" w14:textId="77777777" w:rsidR="008533CC" w:rsidRPr="00BC351C" w:rsidRDefault="008533CC" w:rsidP="00F36E7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proofErr w:type="spellStart"/>
            <w:r w:rsidRPr="00BC351C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</w:rPr>
              <w:t>Тел</w:t>
            </w:r>
            <w:proofErr w:type="spellEnd"/>
            <w:r w:rsidRPr="00BC351C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</w:rPr>
              <w:t>.: 0-800-500-459;</w:t>
            </w:r>
          </w:p>
          <w:p w14:paraId="75CAFA15" w14:textId="77777777" w:rsidR="008533CC" w:rsidRPr="00BC351C" w:rsidRDefault="008A254D" w:rsidP="00D85BA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</w:rPr>
            </w:pPr>
            <w:hyperlink r:id="rId8" w:history="1">
              <w:r w:rsidR="00E96F10" w:rsidRPr="00BC351C">
                <w:rPr>
                  <w:rStyle w:val="a3"/>
                  <w:rFonts w:ascii="Times New Roman" w:hAnsi="Times New Roman" w:cs="Times New Roman"/>
                  <w:sz w:val="24"/>
                  <w:szCs w:val="24"/>
                  <w:highlight w:val="white"/>
                  <w:shd w:val="clear" w:color="auto" w:fill="00FF00"/>
                </w:rPr>
                <w:t>viza@kr.gov.ua</w:t>
              </w:r>
            </w:hyperlink>
          </w:p>
          <w:p w14:paraId="06E8F4D7" w14:textId="77777777" w:rsidR="00E96F10" w:rsidRPr="00BC351C" w:rsidRDefault="00E96F10" w:rsidP="00D85BA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</w:pPr>
            <w:r w:rsidRPr="00BC351C"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  <w:t>http://viza.kr.gov.ua</w:t>
            </w:r>
          </w:p>
        </w:tc>
      </w:tr>
      <w:tr w:rsidR="008533CC" w:rsidRPr="00BC351C" w14:paraId="25415C8B" w14:textId="77777777" w:rsidTr="00B61FA1">
        <w:trPr>
          <w:trHeight w:val="192"/>
        </w:trPr>
        <w:tc>
          <w:tcPr>
            <w:tcW w:w="9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A4B85C" w14:textId="77777777" w:rsidR="008533CC" w:rsidRPr="00BC351C" w:rsidRDefault="008533CC" w:rsidP="00F36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  <w:lang w:val="uk-UA"/>
              </w:rPr>
            </w:pPr>
            <w:r w:rsidRPr="00BC351C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white"/>
                <w:shd w:val="clear" w:color="auto" w:fill="00FF00"/>
                <w:lang w:val="uk-UA"/>
              </w:rPr>
              <w:t>Нормативні акти, якими регламентується надання публічної послуги</w:t>
            </w:r>
          </w:p>
        </w:tc>
      </w:tr>
      <w:tr w:rsidR="008533CC" w:rsidRPr="00BC351C" w14:paraId="17A8F81D" w14:textId="77777777" w:rsidTr="00B61FA1">
        <w:trPr>
          <w:trHeight w:val="54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880009" w14:textId="77777777" w:rsidR="008533CC" w:rsidRPr="00BC351C" w:rsidRDefault="008533CC" w:rsidP="00F36E7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BC351C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4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76344F" w14:textId="77777777" w:rsidR="008533CC" w:rsidRPr="00BC351C" w:rsidRDefault="008533CC" w:rsidP="00F36E7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BC351C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Кодекси, Закони України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C188C7" w14:textId="6AC1447A" w:rsidR="008533CC" w:rsidRPr="00BC351C" w:rsidRDefault="008533CC" w:rsidP="008A79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BC351C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Закон України «Про </w:t>
            </w:r>
            <w:r w:rsidR="001E11D5" w:rsidRPr="00BC351C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компенсацію за пошкодження та знищення окремих категорій об’єктів нерухомого майна </w:t>
            </w:r>
            <w:r w:rsidR="00FC71CA" w:rsidRPr="00BC351C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>внаслідок бойових дій, терористичних актів, диверсій,</w:t>
            </w:r>
            <w:r w:rsidR="00F36E7F" w:rsidRPr="00BC351C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 спричинених збройною агресією Російської Ф</w:t>
            </w:r>
            <w:r w:rsidR="00FC71CA" w:rsidRPr="00BC351C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>едерації проти України, та Державний реєстр майна, пошкодженого</w:t>
            </w:r>
            <w:r w:rsidR="00F36E7F" w:rsidRPr="00BC351C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 </w:t>
            </w:r>
            <w:r w:rsidR="00FC71CA" w:rsidRPr="00BC351C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та знищеного внаслідок бойових дій, терористичних актів, диверсій, спричинених збройною агресією </w:t>
            </w:r>
            <w:r w:rsidR="00113611" w:rsidRPr="00BC351C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>Р</w:t>
            </w:r>
            <w:r w:rsidR="00FC71CA" w:rsidRPr="00BC351C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осійської </w:t>
            </w:r>
            <w:r w:rsidR="00113611" w:rsidRPr="00BC351C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>Ф</w:t>
            </w:r>
            <w:r w:rsidR="00FC71CA" w:rsidRPr="00BC351C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>едерації проти України</w:t>
            </w:r>
            <w:r w:rsidR="00D73D38" w:rsidRPr="00BC351C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>»</w:t>
            </w:r>
            <w:r w:rsidR="00D036F4" w:rsidRPr="00BC351C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, </w:t>
            </w:r>
            <w:r w:rsidR="00D036F4" w:rsidRPr="00BC35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Закон України «Про адміністративну процедуру»</w:t>
            </w:r>
            <w:r w:rsidR="006C1412" w:rsidRPr="00BC351C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>.</w:t>
            </w:r>
            <w:r w:rsidR="00FC71CA" w:rsidRPr="00BC351C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 </w:t>
            </w:r>
          </w:p>
        </w:tc>
      </w:tr>
      <w:tr w:rsidR="008533CC" w:rsidRPr="00506D11" w14:paraId="0EBCC874" w14:textId="77777777" w:rsidTr="00B61FA1">
        <w:trPr>
          <w:trHeight w:val="14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431E64" w14:textId="77777777" w:rsidR="008533CC" w:rsidRPr="00BC351C" w:rsidRDefault="008533CC" w:rsidP="00F36E7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BC351C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5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F1C276" w14:textId="77777777" w:rsidR="008533CC" w:rsidRPr="00BC351C" w:rsidRDefault="008533CC" w:rsidP="00F36E7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BC351C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Акти Кабінету Міністрів України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BE046E" w14:textId="77777777" w:rsidR="008533CC" w:rsidRPr="00BC351C" w:rsidRDefault="008533CC" w:rsidP="008E54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BC351C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-</w:t>
            </w:r>
            <w:r w:rsidR="008A795F" w:rsidRPr="00BC351C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ПКМУ від 21.04.2023 № 381 «Про затвердження Порядку надання компенсації для відновлення окремих категорій об’єктів нерухомого майна, пошкоджених </w:t>
            </w:r>
            <w:r w:rsidR="008A795F" w:rsidRPr="00BC351C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</w:t>
            </w:r>
            <w:proofErr w:type="spellStart"/>
            <w:r w:rsidR="008A795F" w:rsidRPr="00BC351C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>єВідновлення</w:t>
            </w:r>
            <w:proofErr w:type="spellEnd"/>
            <w:r w:rsidR="008A795F" w:rsidRPr="00BC351C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>» зі змінами</w:t>
            </w:r>
          </w:p>
        </w:tc>
      </w:tr>
      <w:tr w:rsidR="008533CC" w:rsidRPr="00BC351C" w14:paraId="7E7A4549" w14:textId="77777777" w:rsidTr="00B61FA1">
        <w:trPr>
          <w:trHeight w:val="59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62D178" w14:textId="77777777" w:rsidR="008533CC" w:rsidRPr="00BC351C" w:rsidRDefault="008533CC" w:rsidP="00F36E7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BC351C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6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0AE5CD" w14:textId="77777777" w:rsidR="008533CC" w:rsidRPr="00BC351C" w:rsidRDefault="008533CC" w:rsidP="00F36E7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BC351C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Акти центральних органів виконавчої влади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1EB107" w14:textId="77777777" w:rsidR="008533CC" w:rsidRPr="00BC351C" w:rsidRDefault="008533CC" w:rsidP="00F36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BC351C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-</w:t>
            </w:r>
          </w:p>
        </w:tc>
      </w:tr>
      <w:tr w:rsidR="008533CC" w:rsidRPr="00506D11" w14:paraId="086BE941" w14:textId="77777777" w:rsidTr="00B61FA1">
        <w:trPr>
          <w:trHeight w:val="77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C1095E" w14:textId="77777777" w:rsidR="008533CC" w:rsidRPr="00BC351C" w:rsidRDefault="008533CC" w:rsidP="00F36E7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BC351C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7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911AC4" w14:textId="77777777" w:rsidR="008533CC" w:rsidRPr="00BC351C" w:rsidRDefault="008533CC" w:rsidP="00F36E7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BC351C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Акти місцевих органів виконавчої влади/органів</w:t>
            </w:r>
          </w:p>
          <w:p w14:paraId="4CBC8CD8" w14:textId="77777777" w:rsidR="008533CC" w:rsidRPr="00BC351C" w:rsidRDefault="008533CC" w:rsidP="00F36E7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BC351C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місцевого самоврядування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742AC8" w14:textId="77777777" w:rsidR="00FC71CA" w:rsidRPr="00BC351C" w:rsidRDefault="008533CC" w:rsidP="00F36E7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BC351C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Рішення </w:t>
            </w:r>
            <w:r w:rsidR="00F36E7F" w:rsidRPr="00BC351C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виконкому </w:t>
            </w:r>
            <w:r w:rsidRPr="00BC351C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Криворізької міської ради від </w:t>
            </w:r>
            <w:r w:rsidR="00040AE1" w:rsidRPr="00BC351C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17</w:t>
            </w:r>
            <w:r w:rsidR="00FC71CA" w:rsidRPr="00BC351C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.0</w:t>
            </w:r>
            <w:r w:rsidR="00040AE1" w:rsidRPr="00BC351C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5</w:t>
            </w:r>
            <w:r w:rsidR="00FC71CA" w:rsidRPr="00BC351C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.2023</w:t>
            </w:r>
            <w:r w:rsidRPr="00BC351C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 №</w:t>
            </w:r>
            <w:r w:rsidR="00FC71CA" w:rsidRPr="00BC351C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 </w:t>
            </w:r>
            <w:r w:rsidR="00040AE1" w:rsidRPr="00BC351C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592</w:t>
            </w:r>
            <w:r w:rsidRPr="00BC351C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 «Про затвердження Порядк</w:t>
            </w:r>
            <w:r w:rsidR="00FC71CA" w:rsidRPr="00BC351C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у розгляду заяв про надання компенсації </w:t>
            </w:r>
            <w:r w:rsidR="00040AE1" w:rsidRPr="00BC351C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      </w:r>
            <w:proofErr w:type="spellStart"/>
            <w:r w:rsidR="00040AE1" w:rsidRPr="00BC351C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єВідновлення</w:t>
            </w:r>
            <w:proofErr w:type="spellEnd"/>
            <w:r w:rsidR="00040AE1" w:rsidRPr="00BC351C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»</w:t>
            </w:r>
            <w:r w:rsidR="00FC71CA" w:rsidRPr="00BC351C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>»</w:t>
            </w:r>
            <w:r w:rsidR="00D85BAC" w:rsidRPr="00BC351C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>, зі змінами</w:t>
            </w:r>
            <w:r w:rsidR="00F36E7F" w:rsidRPr="00BC351C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>;</w:t>
            </w:r>
          </w:p>
          <w:p w14:paraId="0F3DB1DC" w14:textId="77777777" w:rsidR="008533CC" w:rsidRDefault="00C3025A" w:rsidP="00F36E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BC351C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р</w:t>
            </w:r>
            <w:r w:rsidR="00FC71CA" w:rsidRPr="00BC351C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ішення Криворізької міської ради</w:t>
            </w:r>
            <w:r w:rsidR="008533CC" w:rsidRPr="00BC351C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 від 31.03.2016 № 381 «Про обсяг і межі повноважень районних у місті рад та їх виконавчих органів», зі змінами</w:t>
            </w:r>
            <w:r w:rsidR="001A3CA0" w:rsidRPr="00BC351C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.</w:t>
            </w:r>
          </w:p>
          <w:p w14:paraId="1B9A4593" w14:textId="378BF4DE" w:rsidR="008E54B2" w:rsidRPr="00BC351C" w:rsidRDefault="008E54B2" w:rsidP="00F36E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</w:p>
        </w:tc>
      </w:tr>
      <w:tr w:rsidR="008533CC" w:rsidRPr="00BC351C" w14:paraId="65ADE2AC" w14:textId="77777777" w:rsidTr="00B61FA1">
        <w:trPr>
          <w:trHeight w:val="90"/>
        </w:trPr>
        <w:tc>
          <w:tcPr>
            <w:tcW w:w="9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E015B7" w14:textId="77777777" w:rsidR="008533CC" w:rsidRPr="00BC351C" w:rsidRDefault="008533CC" w:rsidP="00F36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  <w:lang w:val="uk-UA"/>
              </w:rPr>
            </w:pPr>
            <w:r w:rsidRPr="00BC351C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white"/>
                <w:shd w:val="clear" w:color="auto" w:fill="00FF00"/>
                <w:lang w:val="uk-UA"/>
              </w:rPr>
              <w:t>Умови отримання публічної послуги</w:t>
            </w:r>
          </w:p>
        </w:tc>
      </w:tr>
      <w:tr w:rsidR="008533CC" w:rsidRPr="00BC351C" w14:paraId="43ABFDC4" w14:textId="77777777" w:rsidTr="00B61FA1">
        <w:trPr>
          <w:trHeight w:val="50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DDCE7A" w14:textId="77777777" w:rsidR="008533CC" w:rsidRPr="00BC351C" w:rsidRDefault="008533CC" w:rsidP="00F36E7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BC351C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8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47110A" w14:textId="77777777" w:rsidR="008533CC" w:rsidRPr="00BC351C" w:rsidRDefault="00F36E7F" w:rsidP="00F36E7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BC351C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Підстава для одержання публіч</w:t>
            </w:r>
            <w:r w:rsidR="008533CC" w:rsidRPr="00BC351C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ної послуги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563A1" w14:textId="77777777" w:rsidR="008533CC" w:rsidRPr="00BC351C" w:rsidRDefault="0003230E" w:rsidP="00E326E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BC351C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Повідомлення заявника про завершення ремонтних робіт по відновленню пошкодженого об’єкта нерухомого майна, внаслідок бойових дій, терористичних актів, диверсій, </w:t>
            </w:r>
            <w:r w:rsidRPr="00BC351C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lastRenderedPageBreak/>
              <w:t>спричинених збройною агресією Російської Федерації</w:t>
            </w:r>
          </w:p>
        </w:tc>
      </w:tr>
      <w:tr w:rsidR="008533CC" w:rsidRPr="00BC351C" w14:paraId="0E98C788" w14:textId="77777777" w:rsidTr="00DE2255">
        <w:trPr>
          <w:trHeight w:val="63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331FB8" w14:textId="77777777" w:rsidR="008533CC" w:rsidRPr="00BC351C" w:rsidRDefault="008533CC" w:rsidP="00D85BA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BC351C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lastRenderedPageBreak/>
              <w:t>9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54B5AE" w14:textId="77777777" w:rsidR="008533CC" w:rsidRPr="00BC351C" w:rsidRDefault="008533CC" w:rsidP="00F36E7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BC351C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Вичерпний перелік документів, необхідних для отримання публічної послуги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24D93E" w14:textId="77777777" w:rsidR="00DE2255" w:rsidRPr="00BC351C" w:rsidRDefault="008533CC" w:rsidP="008A795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BC351C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- </w:t>
            </w:r>
            <w:r w:rsidR="0003230E" w:rsidRPr="00BC351C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>повідомлення,</w:t>
            </w:r>
            <w:r w:rsidR="00B2216D" w:rsidRPr="00BC351C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 </w:t>
            </w:r>
            <w:r w:rsidR="00B16CD9" w:rsidRPr="00BC351C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>подан</w:t>
            </w:r>
            <w:r w:rsidR="0003230E" w:rsidRPr="00BC351C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>е</w:t>
            </w:r>
            <w:r w:rsidR="00B16CD9" w:rsidRPr="00BC351C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 </w:t>
            </w:r>
            <w:r w:rsidR="00B2216D" w:rsidRPr="00BC351C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заявником </w:t>
            </w:r>
            <w:r w:rsidR="0003230E" w:rsidRPr="00BC351C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>засобами Порталу Дія або в</w:t>
            </w:r>
            <w:r w:rsidR="00B2216D" w:rsidRPr="00BC351C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 паперовій формі через</w:t>
            </w:r>
            <w:r w:rsidR="00B16CD9" w:rsidRPr="00BC351C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 Центр надання а</w:t>
            </w:r>
            <w:r w:rsidR="00B2216D" w:rsidRPr="00BC351C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>дміністративних послуг «Віза» («</w:t>
            </w:r>
            <w:r w:rsidR="00B16CD9" w:rsidRPr="00BC351C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>Центр Дії</w:t>
            </w:r>
            <w:r w:rsidR="00B2216D" w:rsidRPr="00BC351C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>»</w:t>
            </w:r>
            <w:r w:rsidR="00B16CD9" w:rsidRPr="00BC351C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>) вико</w:t>
            </w:r>
            <w:r w:rsidR="008A795F" w:rsidRPr="00BC351C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>нкому Криворізької міської ради.</w:t>
            </w:r>
          </w:p>
          <w:p w14:paraId="78CA93E6" w14:textId="5634DD91" w:rsidR="00D71C86" w:rsidRPr="00BC351C" w:rsidRDefault="00D71C86" w:rsidP="008A795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</w:p>
        </w:tc>
      </w:tr>
      <w:tr w:rsidR="008533CC" w:rsidRPr="00506D11" w14:paraId="7289BCE4" w14:textId="77777777" w:rsidTr="00B61FA1">
        <w:trPr>
          <w:trHeight w:val="5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2B7251" w14:textId="77777777" w:rsidR="008533CC" w:rsidRPr="00BC351C" w:rsidRDefault="008533CC" w:rsidP="00F36E7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BC351C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10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CD52F6" w14:textId="77777777" w:rsidR="008533CC" w:rsidRPr="00BC351C" w:rsidRDefault="008533CC" w:rsidP="00F36E7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BC351C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Порядок та спосіб подання документів 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4706C" w14:textId="77777777" w:rsidR="00C83E0F" w:rsidRPr="00BC351C" w:rsidRDefault="0003230E" w:rsidP="008A795F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C351C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>Повідомлення пода</w:t>
            </w:r>
            <w:r w:rsidR="008A795F" w:rsidRPr="00BC351C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>ється</w:t>
            </w:r>
            <w:r w:rsidRPr="00BC351C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 заявником засобами Порталу Дія або в паперовій формі через Центр надання адміністративних послуг «Віза» («Центр Дії») виконкому Криворізької міської ради подається протягом 15 робочих днів після завершення ремонтних робіт.</w:t>
            </w:r>
          </w:p>
        </w:tc>
      </w:tr>
      <w:tr w:rsidR="008533CC" w:rsidRPr="00BC351C" w14:paraId="406C5DEB" w14:textId="77777777" w:rsidTr="00B61FA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2078FB" w14:textId="77777777" w:rsidR="008533CC" w:rsidRPr="00BC351C" w:rsidRDefault="008533CC" w:rsidP="00B2216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BC351C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11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CDFC4A" w14:textId="77777777" w:rsidR="008533CC" w:rsidRPr="00BC351C" w:rsidRDefault="008533CC" w:rsidP="00F36E7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BC351C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Платність/безоплатність публічної послуги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48B2F" w14:textId="77777777" w:rsidR="008533CC" w:rsidRPr="00BC351C" w:rsidRDefault="008533CC" w:rsidP="00F36E7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BC351C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Безоплатно</w:t>
            </w:r>
          </w:p>
        </w:tc>
      </w:tr>
      <w:tr w:rsidR="008533CC" w:rsidRPr="00BC351C" w14:paraId="2501B938" w14:textId="77777777" w:rsidTr="00B61FA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5BE407" w14:textId="77777777" w:rsidR="008533CC" w:rsidRPr="00BC351C" w:rsidRDefault="008533CC" w:rsidP="00F36E7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BC351C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12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47AA5A" w14:textId="77777777" w:rsidR="008533CC" w:rsidRPr="00BC351C" w:rsidRDefault="008533CC" w:rsidP="00F36E7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BC351C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Строк надання публічної послуги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E262F" w14:textId="77777777" w:rsidR="00D42084" w:rsidRPr="00BC351C" w:rsidRDefault="00050907" w:rsidP="00E636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BC351C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30</w:t>
            </w:r>
            <w:r w:rsidR="00E636C7" w:rsidRPr="00BC351C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 календарних</w:t>
            </w:r>
            <w:r w:rsidR="001F19D8" w:rsidRPr="00BC351C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 днів</w:t>
            </w:r>
            <w:r w:rsidR="00D71C86" w:rsidRPr="00BC351C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.</w:t>
            </w:r>
          </w:p>
          <w:p w14:paraId="105EEEF4" w14:textId="1AE8EFC2" w:rsidR="00D71C86" w:rsidRPr="00BC351C" w:rsidRDefault="00D71C86" w:rsidP="00E636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BC35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Строк може бути подовжено згідно діючого законодавства.</w:t>
            </w:r>
          </w:p>
        </w:tc>
      </w:tr>
      <w:tr w:rsidR="008533CC" w:rsidRPr="00BC351C" w14:paraId="5BD53AC3" w14:textId="77777777" w:rsidTr="00B61FA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2B641F" w14:textId="77777777" w:rsidR="008533CC" w:rsidRPr="00BC351C" w:rsidRDefault="008533CC" w:rsidP="00F36E7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BC351C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13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ACDDBD" w14:textId="0E97F6B2" w:rsidR="008533CC" w:rsidRPr="00BC351C" w:rsidRDefault="008533CC" w:rsidP="00B61FA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BC351C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Перелік підстав для відмови в наданні публічної</w:t>
            </w:r>
            <w:r w:rsidR="00742B32" w:rsidRPr="00BC351C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 </w:t>
            </w:r>
            <w:r w:rsidRPr="00BC351C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послуги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C38BC2" w14:textId="77777777" w:rsidR="008533CC" w:rsidRPr="00BC351C" w:rsidRDefault="00FF1C60" w:rsidP="00685EB8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BC35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</w:p>
        </w:tc>
      </w:tr>
      <w:tr w:rsidR="008533CC" w:rsidRPr="00BC351C" w14:paraId="5B3D5BB7" w14:textId="77777777" w:rsidTr="00FF1C60">
        <w:trPr>
          <w:trHeight w:val="28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3C27E7" w14:textId="77777777" w:rsidR="008533CC" w:rsidRPr="00BC351C" w:rsidRDefault="008533CC" w:rsidP="00F36E7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BC351C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14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D39353" w14:textId="77777777" w:rsidR="008533CC" w:rsidRPr="00BC351C" w:rsidRDefault="008533CC" w:rsidP="00B61FA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BC351C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Результат надання публічної послуги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798CA" w14:textId="77777777" w:rsidR="008533CC" w:rsidRPr="00BC351C" w:rsidRDefault="0003230E" w:rsidP="00032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BC351C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 xml:space="preserve">Акт верифікації </w:t>
            </w:r>
          </w:p>
        </w:tc>
      </w:tr>
      <w:tr w:rsidR="008533CC" w:rsidRPr="00BC351C" w14:paraId="34D2ED60" w14:textId="77777777" w:rsidTr="00B61FA1">
        <w:trPr>
          <w:trHeight w:val="42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F46F9E" w14:textId="77777777" w:rsidR="008533CC" w:rsidRPr="00BC351C" w:rsidRDefault="008533CC" w:rsidP="00F36E7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BC351C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15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6AEF11" w14:textId="77777777" w:rsidR="008533CC" w:rsidRPr="00BC351C" w:rsidRDefault="008533CC" w:rsidP="00F36E7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BC351C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Спосіб отримання результату надання публічної послуги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243E1" w14:textId="50A7371D" w:rsidR="008533CC" w:rsidRPr="00BC351C" w:rsidRDefault="0003230E" w:rsidP="001E3B6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C351C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 засобами Порталу Дія </w:t>
            </w:r>
          </w:p>
        </w:tc>
      </w:tr>
      <w:tr w:rsidR="008533CC" w:rsidRPr="00BC351C" w14:paraId="00CD9326" w14:textId="77777777" w:rsidTr="00B61FA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E93F2A" w14:textId="77777777" w:rsidR="008533CC" w:rsidRPr="00BC351C" w:rsidRDefault="008533CC" w:rsidP="00F36E7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BC351C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16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28E615" w14:textId="77777777" w:rsidR="008533CC" w:rsidRPr="00BC351C" w:rsidRDefault="008533CC" w:rsidP="00F36E7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BC351C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Примітка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770BE" w14:textId="77777777" w:rsidR="0060733F" w:rsidRPr="00BC351C" w:rsidRDefault="0060733F" w:rsidP="00C46A7C">
            <w:pPr>
              <w:pStyle w:val="a5"/>
              <w:ind w:firstLine="3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51C">
              <w:rPr>
                <w:rFonts w:ascii="Times New Roman" w:hAnsi="Times New Roman" w:cs="Times New Roman"/>
                <w:sz w:val="24"/>
                <w:szCs w:val="24"/>
              </w:rPr>
              <w:t>Заявник може бути залучений до розгляду справи за необхідністю.</w:t>
            </w:r>
          </w:p>
          <w:p w14:paraId="0C4E6CE8" w14:textId="77777777" w:rsidR="00E112BB" w:rsidRPr="00BC351C" w:rsidRDefault="0060733F" w:rsidP="00E112BB">
            <w:pPr>
              <w:pStyle w:val="a5"/>
              <w:ind w:firstLine="3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51C">
              <w:rPr>
                <w:rFonts w:ascii="Times New Roman" w:hAnsi="Times New Roman" w:cs="Times New Roman"/>
                <w:sz w:val="24"/>
                <w:szCs w:val="24"/>
              </w:rPr>
              <w:t>Суб’єкт звернення має право оскаржити результат надання публічної послуги шляхом подачі скарги до суду відповідно до закону.</w:t>
            </w:r>
          </w:p>
          <w:p w14:paraId="6323338F" w14:textId="37382E96" w:rsidR="00C46A7C" w:rsidRPr="00BC351C" w:rsidRDefault="00C46A7C" w:rsidP="00E112BB">
            <w:pPr>
              <w:pStyle w:val="a5"/>
              <w:ind w:firstLine="3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51C">
              <w:rPr>
                <w:rFonts w:ascii="Times New Roman" w:hAnsi="Times New Roman" w:cs="Times New Roman"/>
                <w:sz w:val="24"/>
                <w:szCs w:val="24"/>
              </w:rPr>
              <w:t>Адміністративне провадження здійснюється у порядку та строки, визначені Законом України «Про адміністративну процедуру». Сукупність процедурних дій визначається за необхідністю у кожні</w:t>
            </w:r>
            <w:r w:rsidR="00E112BB" w:rsidRPr="00BC351C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BC351C">
              <w:rPr>
                <w:rFonts w:ascii="Times New Roman" w:hAnsi="Times New Roman" w:cs="Times New Roman"/>
                <w:sz w:val="24"/>
                <w:szCs w:val="24"/>
              </w:rPr>
              <w:t xml:space="preserve"> справі індивідуально.</w:t>
            </w:r>
          </w:p>
          <w:p w14:paraId="190F7378" w14:textId="6C855DAC" w:rsidR="008533CC" w:rsidRPr="00BC351C" w:rsidRDefault="008533CC" w:rsidP="00C46A7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14:paraId="6992BB88" w14:textId="77777777" w:rsidR="00C3025A" w:rsidRPr="00BC351C" w:rsidRDefault="00C3025A" w:rsidP="00A54C77">
      <w:pPr>
        <w:rPr>
          <w:lang w:val="uk-UA"/>
        </w:rPr>
      </w:pPr>
    </w:p>
    <w:p w14:paraId="7535A3E4" w14:textId="77777777" w:rsidR="00B80B26" w:rsidRPr="00BC351C" w:rsidRDefault="00B80B26" w:rsidP="00B80B26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BC351C">
        <w:rPr>
          <w:rFonts w:ascii="Times New Roman" w:hAnsi="Times New Roman" w:cs="Times New Roman"/>
          <w:b/>
          <w:i/>
          <w:sz w:val="24"/>
          <w:szCs w:val="24"/>
          <w:lang w:val="uk-UA"/>
        </w:rPr>
        <w:t>Керуюча справами виконкому</w:t>
      </w:r>
    </w:p>
    <w:p w14:paraId="25DD5CDD" w14:textId="77777777" w:rsidR="00B80B26" w:rsidRPr="00BC351C" w:rsidRDefault="00B80B26" w:rsidP="00B80B26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BC351C">
        <w:rPr>
          <w:rFonts w:ascii="Times New Roman" w:hAnsi="Times New Roman" w:cs="Times New Roman"/>
          <w:b/>
          <w:i/>
          <w:sz w:val="24"/>
          <w:szCs w:val="24"/>
          <w:lang w:val="uk-UA"/>
        </w:rPr>
        <w:t>районної у місті ради</w:t>
      </w:r>
      <w:r w:rsidRPr="00BC351C">
        <w:rPr>
          <w:rFonts w:ascii="Times New Roman" w:hAnsi="Times New Roman" w:cs="Times New Roman"/>
          <w:b/>
          <w:i/>
          <w:sz w:val="24"/>
          <w:szCs w:val="24"/>
          <w:lang w:val="uk-UA"/>
        </w:rPr>
        <w:tab/>
        <w:t>Алла ГОЛОВАТА</w:t>
      </w:r>
    </w:p>
    <w:p w14:paraId="384047A7" w14:textId="77777777" w:rsidR="00B80B26" w:rsidRPr="00742B32" w:rsidRDefault="00B80B26" w:rsidP="00B80B26">
      <w:pPr>
        <w:rPr>
          <w:lang w:val="uk-UA"/>
        </w:rPr>
      </w:pPr>
    </w:p>
    <w:p w14:paraId="2626B258" w14:textId="77777777" w:rsidR="00C3025A" w:rsidRPr="00742B32" w:rsidRDefault="00C3025A" w:rsidP="00A54C77">
      <w:pPr>
        <w:rPr>
          <w:lang w:val="uk-UA"/>
        </w:rPr>
      </w:pPr>
    </w:p>
    <w:sectPr w:rsidR="00C3025A" w:rsidRPr="00742B32" w:rsidSect="00742B3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8F54B0" w14:textId="77777777" w:rsidR="006E1658" w:rsidRDefault="006E1658" w:rsidP="00C3025A">
      <w:pPr>
        <w:spacing w:after="0" w:line="240" w:lineRule="auto"/>
      </w:pPr>
      <w:r>
        <w:separator/>
      </w:r>
    </w:p>
  </w:endnote>
  <w:endnote w:type="continuationSeparator" w:id="0">
    <w:p w14:paraId="2DDE4179" w14:textId="77777777" w:rsidR="006E1658" w:rsidRDefault="006E1658" w:rsidP="00C30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1D4E38" w14:textId="77777777" w:rsidR="005C43F4" w:rsidRDefault="005C43F4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8B47B6" w14:textId="77777777" w:rsidR="005C43F4" w:rsidRDefault="005C43F4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08EA41" w14:textId="77777777" w:rsidR="005C43F4" w:rsidRDefault="005C43F4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7128F4" w14:textId="77777777" w:rsidR="006E1658" w:rsidRDefault="006E1658" w:rsidP="00C3025A">
      <w:pPr>
        <w:spacing w:after="0" w:line="240" w:lineRule="auto"/>
      </w:pPr>
      <w:r>
        <w:separator/>
      </w:r>
    </w:p>
  </w:footnote>
  <w:footnote w:type="continuationSeparator" w:id="0">
    <w:p w14:paraId="4E007E62" w14:textId="77777777" w:rsidR="006E1658" w:rsidRDefault="006E1658" w:rsidP="00C302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55D9DD" w14:textId="77777777" w:rsidR="005C43F4" w:rsidRDefault="005C43F4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01EE53" w14:textId="4D7865B0" w:rsidR="004812EA" w:rsidRPr="005C43F4" w:rsidRDefault="005C43F4" w:rsidP="005C43F4">
    <w:pPr>
      <w:pStyle w:val="aa"/>
      <w:tabs>
        <w:tab w:val="center" w:pos="4819"/>
        <w:tab w:val="left" w:pos="6450"/>
      </w:tabs>
      <w:rPr>
        <w:rFonts w:ascii="Times New Roman" w:hAnsi="Times New Roman" w:cs="Times New Roman"/>
        <w:sz w:val="24"/>
      </w:rPr>
    </w:pPr>
    <w:r>
      <w:tab/>
    </w:r>
    <w:r>
      <w:tab/>
    </w:r>
    <w:sdt>
      <w:sdtPr>
        <w:id w:val="875425240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4"/>
        </w:rPr>
      </w:sdtEndPr>
      <w:sdtContent>
        <w:r w:rsidR="0013767F" w:rsidRPr="005C43F4">
          <w:rPr>
            <w:rFonts w:ascii="Times New Roman" w:hAnsi="Times New Roman" w:cs="Times New Roman"/>
            <w:sz w:val="24"/>
          </w:rPr>
          <w:fldChar w:fldCharType="begin"/>
        </w:r>
        <w:r w:rsidR="0013767F" w:rsidRPr="005C43F4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="0013767F" w:rsidRPr="005C43F4">
          <w:rPr>
            <w:rFonts w:ascii="Times New Roman" w:hAnsi="Times New Roman" w:cs="Times New Roman"/>
            <w:sz w:val="24"/>
          </w:rPr>
          <w:fldChar w:fldCharType="separate"/>
        </w:r>
        <w:r w:rsidR="008A254D">
          <w:rPr>
            <w:rFonts w:ascii="Times New Roman" w:hAnsi="Times New Roman" w:cs="Times New Roman"/>
            <w:noProof/>
            <w:sz w:val="24"/>
          </w:rPr>
          <w:t>3</w:t>
        </w:r>
        <w:r w:rsidR="0013767F" w:rsidRPr="005C43F4">
          <w:rPr>
            <w:rFonts w:ascii="Times New Roman" w:hAnsi="Times New Roman" w:cs="Times New Roman"/>
            <w:noProof/>
            <w:sz w:val="24"/>
          </w:rPr>
          <w:fldChar w:fldCharType="end"/>
        </w:r>
      </w:sdtContent>
    </w:sdt>
    <w:r>
      <w:rPr>
        <w:rFonts w:ascii="Times New Roman" w:hAnsi="Times New Roman" w:cs="Times New Roman"/>
        <w:sz w:val="24"/>
      </w:rPr>
      <w:tab/>
    </w:r>
    <w:r w:rsidRPr="005C43F4">
      <w:rPr>
        <w:rFonts w:ascii="Times New Roman" w:hAnsi="Times New Roman" w:cs="Times New Roman"/>
        <w:b/>
        <w:i/>
        <w:sz w:val="24"/>
        <w:lang w:val="uk-UA"/>
      </w:rPr>
      <w:t xml:space="preserve">Продовження додатка </w:t>
    </w:r>
    <w:r>
      <w:rPr>
        <w:rFonts w:ascii="Times New Roman" w:hAnsi="Times New Roman" w:cs="Times New Roman"/>
        <w:b/>
        <w:i/>
        <w:sz w:val="24"/>
        <w:lang w:val="uk-UA"/>
      </w:rPr>
      <w:t>10</w:t>
    </w:r>
    <w:r w:rsidR="00917018">
      <w:rPr>
        <w:rFonts w:ascii="Times New Roman" w:hAnsi="Times New Roman" w:cs="Times New Roman"/>
        <w:b/>
        <w:i/>
        <w:sz w:val="24"/>
        <w:lang w:val="uk-UA"/>
      </w:rPr>
      <w:t>5</w:t>
    </w:r>
  </w:p>
  <w:p w14:paraId="6220B38D" w14:textId="77777777" w:rsidR="004812EA" w:rsidRDefault="004812E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AE01F0" w14:textId="77777777" w:rsidR="005C43F4" w:rsidRDefault="005C43F4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700F75"/>
    <w:multiLevelType w:val="hybridMultilevel"/>
    <w:tmpl w:val="1442A026"/>
    <w:lvl w:ilvl="0" w:tplc="5A90AEF8">
      <w:numFmt w:val="bullet"/>
      <w:lvlText w:val="-"/>
      <w:lvlJc w:val="left"/>
      <w:pPr>
        <w:ind w:left="785" w:hanging="360"/>
      </w:pPr>
      <w:rPr>
        <w:rFonts w:ascii="Helvetica" w:eastAsia="Times New Roman" w:hAnsi="Helvetica" w:cs="Helvetica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48327301"/>
    <w:multiLevelType w:val="hybridMultilevel"/>
    <w:tmpl w:val="74A42948"/>
    <w:lvl w:ilvl="0" w:tplc="A0987D10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560C80"/>
    <w:multiLevelType w:val="multilevel"/>
    <w:tmpl w:val="8312B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A6C546D"/>
    <w:multiLevelType w:val="multilevel"/>
    <w:tmpl w:val="6246B2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4F63316"/>
    <w:multiLevelType w:val="multilevel"/>
    <w:tmpl w:val="2E967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598725D"/>
    <w:multiLevelType w:val="multilevel"/>
    <w:tmpl w:val="3D7ABA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EA92658"/>
    <w:multiLevelType w:val="multilevel"/>
    <w:tmpl w:val="6B40D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EB01519"/>
    <w:multiLevelType w:val="hybridMultilevel"/>
    <w:tmpl w:val="500658C6"/>
    <w:lvl w:ilvl="0" w:tplc="147E8798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7262A4"/>
    <w:multiLevelType w:val="multilevel"/>
    <w:tmpl w:val="FCE231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C9B0EA7"/>
    <w:multiLevelType w:val="hybridMultilevel"/>
    <w:tmpl w:val="20EC87FC"/>
    <w:lvl w:ilvl="0" w:tplc="6720AE6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2"/>
  </w:num>
  <w:num w:numId="5">
    <w:abstractNumId w:val="8"/>
  </w:num>
  <w:num w:numId="6">
    <w:abstractNumId w:val="3"/>
  </w:num>
  <w:num w:numId="7">
    <w:abstractNumId w:val="7"/>
  </w:num>
  <w:num w:numId="8">
    <w:abstractNumId w:val="0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1C2E"/>
    <w:rsid w:val="0003230E"/>
    <w:rsid w:val="00040AE1"/>
    <w:rsid w:val="000415EF"/>
    <w:rsid w:val="00042F98"/>
    <w:rsid w:val="00050907"/>
    <w:rsid w:val="00052E30"/>
    <w:rsid w:val="000D02E9"/>
    <w:rsid w:val="00113611"/>
    <w:rsid w:val="0013767F"/>
    <w:rsid w:val="001405AF"/>
    <w:rsid w:val="00160D0E"/>
    <w:rsid w:val="001A3CA0"/>
    <w:rsid w:val="001C5308"/>
    <w:rsid w:val="001E11D5"/>
    <w:rsid w:val="001E3B66"/>
    <w:rsid w:val="001F19D8"/>
    <w:rsid w:val="00213E43"/>
    <w:rsid w:val="00235AEC"/>
    <w:rsid w:val="00240C64"/>
    <w:rsid w:val="002B4AA8"/>
    <w:rsid w:val="002B72BC"/>
    <w:rsid w:val="00332A76"/>
    <w:rsid w:val="00466896"/>
    <w:rsid w:val="00472830"/>
    <w:rsid w:val="004812EA"/>
    <w:rsid w:val="00506D11"/>
    <w:rsid w:val="00574C80"/>
    <w:rsid w:val="00580893"/>
    <w:rsid w:val="005C43F4"/>
    <w:rsid w:val="005C7790"/>
    <w:rsid w:val="005E7E85"/>
    <w:rsid w:val="0060733F"/>
    <w:rsid w:val="00625BD2"/>
    <w:rsid w:val="0066696F"/>
    <w:rsid w:val="00685EB8"/>
    <w:rsid w:val="00693650"/>
    <w:rsid w:val="006C1412"/>
    <w:rsid w:val="006E1658"/>
    <w:rsid w:val="006F4E84"/>
    <w:rsid w:val="00706C63"/>
    <w:rsid w:val="0071147E"/>
    <w:rsid w:val="00711C2E"/>
    <w:rsid w:val="00742B32"/>
    <w:rsid w:val="0075656E"/>
    <w:rsid w:val="007D04EA"/>
    <w:rsid w:val="00825B3E"/>
    <w:rsid w:val="00831E14"/>
    <w:rsid w:val="008533CC"/>
    <w:rsid w:val="00887AE7"/>
    <w:rsid w:val="008A254D"/>
    <w:rsid w:val="008A795F"/>
    <w:rsid w:val="008E16A1"/>
    <w:rsid w:val="008E54B2"/>
    <w:rsid w:val="00917018"/>
    <w:rsid w:val="00921F4B"/>
    <w:rsid w:val="00925D97"/>
    <w:rsid w:val="00947959"/>
    <w:rsid w:val="009853E0"/>
    <w:rsid w:val="009D6937"/>
    <w:rsid w:val="00A11CF7"/>
    <w:rsid w:val="00A54C77"/>
    <w:rsid w:val="00B16CD9"/>
    <w:rsid w:val="00B2216D"/>
    <w:rsid w:val="00B61FA1"/>
    <w:rsid w:val="00B74095"/>
    <w:rsid w:val="00B80B26"/>
    <w:rsid w:val="00BC351C"/>
    <w:rsid w:val="00C3025A"/>
    <w:rsid w:val="00C46A7C"/>
    <w:rsid w:val="00C83E0F"/>
    <w:rsid w:val="00CC0DD1"/>
    <w:rsid w:val="00CD5ECB"/>
    <w:rsid w:val="00CF3324"/>
    <w:rsid w:val="00D036F4"/>
    <w:rsid w:val="00D42084"/>
    <w:rsid w:val="00D71C86"/>
    <w:rsid w:val="00D73D38"/>
    <w:rsid w:val="00D85BAC"/>
    <w:rsid w:val="00D85C52"/>
    <w:rsid w:val="00DE2255"/>
    <w:rsid w:val="00DF0B85"/>
    <w:rsid w:val="00E112BB"/>
    <w:rsid w:val="00E326ED"/>
    <w:rsid w:val="00E636C7"/>
    <w:rsid w:val="00E96F10"/>
    <w:rsid w:val="00F24B8B"/>
    <w:rsid w:val="00F36E7F"/>
    <w:rsid w:val="00FC71CA"/>
    <w:rsid w:val="00FF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497CF"/>
  <w15:docId w15:val="{08118CBF-559A-4128-9F65-99E0FE474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33CC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533CC"/>
    <w:rPr>
      <w:color w:val="0000FF"/>
      <w:u w:val="single"/>
    </w:rPr>
  </w:style>
  <w:style w:type="character" w:styleId="a4">
    <w:name w:val="Emphasis"/>
    <w:basedOn w:val="a0"/>
    <w:qFormat/>
    <w:rsid w:val="008533CC"/>
    <w:rPr>
      <w:i/>
      <w:iCs/>
    </w:rPr>
  </w:style>
  <w:style w:type="paragraph" w:styleId="a5">
    <w:name w:val="No Spacing"/>
    <w:uiPriority w:val="1"/>
    <w:qFormat/>
    <w:rsid w:val="008533CC"/>
    <w:pPr>
      <w:suppressAutoHyphens/>
      <w:spacing w:after="0" w:line="240" w:lineRule="auto"/>
    </w:pPr>
    <w:rPr>
      <w:rFonts w:ascii="Calibri" w:eastAsia="Calibri" w:hAnsi="Calibri" w:cs="Calibri"/>
      <w:lang w:val="uk-UA" w:eastAsia="ar-SA"/>
    </w:rPr>
  </w:style>
  <w:style w:type="paragraph" w:styleId="a6">
    <w:name w:val="Normal (Web)"/>
    <w:basedOn w:val="a"/>
    <w:uiPriority w:val="99"/>
    <w:unhideWhenUsed/>
    <w:rsid w:val="00332A7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5E7E85"/>
    <w:pPr>
      <w:ind w:left="720"/>
      <w:contextualSpacing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E96F10"/>
    <w:rPr>
      <w:color w:val="605E5C"/>
      <w:shd w:val="clear" w:color="auto" w:fill="E1DFDD"/>
    </w:rPr>
  </w:style>
  <w:style w:type="paragraph" w:styleId="a8">
    <w:name w:val="Balloon Text"/>
    <w:basedOn w:val="a"/>
    <w:link w:val="a9"/>
    <w:uiPriority w:val="99"/>
    <w:semiHidden/>
    <w:unhideWhenUsed/>
    <w:rsid w:val="00C302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C3025A"/>
    <w:rPr>
      <w:rFonts w:ascii="Tahoma" w:eastAsia="Calibri" w:hAnsi="Tahoma" w:cs="Tahoma"/>
      <w:sz w:val="16"/>
      <w:szCs w:val="16"/>
      <w:lang w:eastAsia="ar-SA"/>
    </w:rPr>
  </w:style>
  <w:style w:type="paragraph" w:styleId="aa">
    <w:name w:val="header"/>
    <w:basedOn w:val="a"/>
    <w:link w:val="ab"/>
    <w:uiPriority w:val="99"/>
    <w:unhideWhenUsed/>
    <w:rsid w:val="00C302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C3025A"/>
    <w:rPr>
      <w:rFonts w:ascii="Calibri" w:eastAsia="Calibri" w:hAnsi="Calibri" w:cs="Calibri"/>
      <w:lang w:eastAsia="ar-SA"/>
    </w:rPr>
  </w:style>
  <w:style w:type="paragraph" w:styleId="ac">
    <w:name w:val="footer"/>
    <w:basedOn w:val="a"/>
    <w:link w:val="ad"/>
    <w:uiPriority w:val="99"/>
    <w:unhideWhenUsed/>
    <w:rsid w:val="00C302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C3025A"/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za@kr.gov.ua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AEC786-CE26-4E9B-AFF6-A89D9C5F5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3</Pages>
  <Words>3669</Words>
  <Characters>2092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Vikonkom</cp:lastModifiedBy>
  <cp:revision>41</cp:revision>
  <cp:lastPrinted>2026-01-07T12:25:00Z</cp:lastPrinted>
  <dcterms:created xsi:type="dcterms:W3CDTF">2023-05-22T05:59:00Z</dcterms:created>
  <dcterms:modified xsi:type="dcterms:W3CDTF">2026-01-07T12:26:00Z</dcterms:modified>
</cp:coreProperties>
</file>